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EE7B1" w14:textId="0638B308" w:rsidR="00581B40" w:rsidRDefault="005E0E44" w:rsidP="00CF4B36">
      <w:pPr>
        <w:spacing w:line="240" w:lineRule="auto"/>
      </w:pPr>
      <w:r>
        <w:t>Diana Seaborn</w:t>
      </w:r>
      <w:r w:rsidR="00CF4B36">
        <w:br/>
      </w:r>
      <w:r>
        <w:t>Director</w:t>
      </w:r>
      <w:r w:rsidR="00581B40">
        <w:t>, Office of Financial Assistance</w:t>
      </w:r>
      <w:r w:rsidR="00CF4B36">
        <w:br/>
      </w:r>
      <w:r>
        <w:t>Office of Capital Access</w:t>
      </w:r>
      <w:r w:rsidR="00CF4B36">
        <w:br/>
      </w:r>
      <w:r>
        <w:t>U.S. Small Business Administration</w:t>
      </w:r>
      <w:r w:rsidR="00CF4B36">
        <w:br/>
        <w:t>409 3rd Street SW, Suite 8200</w:t>
      </w:r>
      <w:r w:rsidR="00CF4B36">
        <w:br/>
        <w:t>Washington, DC 20416</w:t>
      </w:r>
    </w:p>
    <w:p w14:paraId="27F36B25" w14:textId="77777777" w:rsidR="0036757D" w:rsidRDefault="0036757D" w:rsidP="005E0E44"/>
    <w:p w14:paraId="1511A187" w14:textId="63900A99" w:rsidR="005E0E44" w:rsidRDefault="004963D0" w:rsidP="005E0E44">
      <w:r>
        <w:t xml:space="preserve">Re: </w:t>
      </w:r>
      <w:r w:rsidR="00E0106B">
        <w:t>2022-23167</w:t>
      </w:r>
      <w:r w:rsidR="00CC56C4">
        <w:t xml:space="preserve"> “Affiliation and Lending Criteria for the SBA Business Loan Programs”</w:t>
      </w:r>
    </w:p>
    <w:p w14:paraId="606E7C27" w14:textId="5D56A04F" w:rsidR="005E0E44" w:rsidRDefault="00DA5B74" w:rsidP="005E0E44">
      <w:r>
        <w:t xml:space="preserve">Dear </w:t>
      </w:r>
      <w:r w:rsidR="005E0E44">
        <w:t>Ms. Seaborn,</w:t>
      </w:r>
    </w:p>
    <w:p w14:paraId="099DC248" w14:textId="77777777" w:rsidR="005E0E44" w:rsidRDefault="005E0E44" w:rsidP="005E0E44">
      <w:r>
        <w:t xml:space="preserve">Thank you for the opportunity to comment on the proposed rule on Affiliation and Lending Criteria for the SBA Business Loan Program. </w:t>
      </w:r>
    </w:p>
    <w:p w14:paraId="0F3C3507" w14:textId="267D8125" w:rsidR="00125691" w:rsidRDefault="50AB85C7" w:rsidP="005E0E44">
      <w:r>
        <w:t xml:space="preserve">Cooperatives exist and thrive across all sectors of our economy. One in three Americans is a member-owner of at least one cooperative business, but membership is unevenly distributed across types of cooperatives and sectors of the economy. This is in large part due to a policy scaffolding around each sector. For example, 125 million member-owners access safe, affordable financial services through their local credit union. Products produced by farmer cooperatives are household names like Organic Valley, Cabot Creamery, Ocean Spray, and Sunkist. Every year, U.S. food co-ops exceed $2.4 billion in combined sales, with 38 percent of revenue from grocery co-ops spent locally.  And more than 20 million households, businesses, and schools receive electricity as member-owners of the electric cooperatives that serve 92 percent of persistent poverty counties. Worker cooperatives are small businesses owned, controlled, and governed by employees and make up a small yet fast-growing portion of the 65,000 cooperative businesses in our nation.  </w:t>
      </w:r>
    </w:p>
    <w:p w14:paraId="3321CA37" w14:textId="01BB68BE" w:rsidR="005E0E44" w:rsidRDefault="50AB85C7" w:rsidP="005E0E44">
      <w:r>
        <w:t xml:space="preserve">There are an estimated 1,000 worker cooperatives in the United States. Workers clearly have an interest in forming these types of businesses, but this potentially exponential growth is hindered because of a lack of access to capital. Consumer-owned cooperatives are also stable, secure, legitimate businesses that have staying power. For example, consumer food co-ops provide access to locally produced and healthy foods for residents and increase access to markets for our nation’s small and midsized producers. They improve communities’ economic resiliency and ultimately reduce the prevalence of food deserts and food insecurity. Cooperatives are a tool for driving locally led solutions and building wealth, especially in communities of color and low-income communities. Lack of access to capital—and, importantly, lack of access to U.S. Small Business Administration loan guarantees—is a central reason there are not significantly more of these businesses. Despite the presence and success of cooperatives for more than 100 years in the United States, the SBA has failed to incorporate its products and services to include the cooperative business model. </w:t>
      </w:r>
    </w:p>
    <w:p w14:paraId="32575D33" w14:textId="0DADF04E" w:rsidR="005E0E44" w:rsidRDefault="50AB85C7" w:rsidP="005E0E44">
      <w:r>
        <w:t xml:space="preserve">We recognize and appreciate the intent behind the proposed rule on SBA’s business lending programs and the inclusion of the provision that would allow borrowers to use 7(a) loans </w:t>
      </w:r>
      <w:r w:rsidRPr="50AB85C7">
        <w:rPr>
          <w:i/>
          <w:iCs/>
        </w:rPr>
        <w:t>“to purchase a portion of or the entirety of an owner's interest in a business, or a partial or full purchase of a business itself.”</w:t>
      </w:r>
      <w:r>
        <w:t xml:space="preserve"> However, this provision does not sufficiently address the lack of access to capital for member-owned cooperatives. The proposed rule fails to address SBA’s personal or equity guarantee requirement within 7(a) lending programs.</w:t>
      </w:r>
    </w:p>
    <w:p w14:paraId="5C9F305D" w14:textId="4D04F280" w:rsidR="005E0E44" w:rsidRPr="00F2278B" w:rsidRDefault="50AB85C7" w:rsidP="005E0E44">
      <w:pPr>
        <w:rPr>
          <w:b/>
          <w:bCs/>
        </w:rPr>
      </w:pPr>
      <w:r>
        <w:t xml:space="preserve">A defining feature of the cooperative business model is shared ownership by the members and a governance structure that provides one vote for each member. For this reason, no single member owns more than a 20 percent stake in the overwhelming majority of cooperatives. The agency’s previous claims that the personal guarantee ensures owners are invested in the business’ viability is redundant when applied to cooperative businesses. Cooperatives, necessarily being 100 percent member-owned, means that all owners already have skin in the game as each individual has personally invested their own money and resources. </w:t>
      </w:r>
      <w:r w:rsidRPr="50AB85C7">
        <w:rPr>
          <w:b/>
          <w:bCs/>
        </w:rPr>
        <w:t>SBA should ensure that cooperatives are eligible for 7(a) loans without undue burden by removing the requirement to provide a personal guarantee.</w:t>
      </w:r>
    </w:p>
    <w:p w14:paraId="620F3A86" w14:textId="2386C9F1" w:rsidR="005E0E44" w:rsidRDefault="50AB85C7" w:rsidP="005E0E44">
      <w:r>
        <w:t>Within the Federal Register notice, SBA states that the intent behind the proposed rule is to “</w:t>
      </w:r>
      <w:r w:rsidRPr="50AB85C7">
        <w:rPr>
          <w:i/>
          <w:iCs/>
        </w:rPr>
        <w:t>assist small businesses and expand pathways to ownership”</w:t>
      </w:r>
      <w:r>
        <w:t xml:space="preserve"> and that the agency believes the regulations </w:t>
      </w:r>
      <w:r w:rsidRPr="50AB85C7">
        <w:rPr>
          <w:i/>
          <w:iCs/>
        </w:rPr>
        <w:t>“can better position the Agency and participating lenders to meet the needs of America's small businesses, create jobs, assist with recovery from the COVID-19 pandemic, and grow the economy, fueling American entrepreneurship…and will enable SBA to provide capital in the form of 7(a) and 504 loans to more small businesses.”</w:t>
      </w:r>
      <w:r>
        <w:t xml:space="preserve"> </w:t>
      </w:r>
      <w:r w:rsidR="008448D7">
        <w:t>T</w:t>
      </w:r>
      <w:r>
        <w:t>he rule’s failure</w:t>
      </w:r>
      <w:r w:rsidR="008448D7">
        <w:t>, however,</w:t>
      </w:r>
      <w:r>
        <w:t xml:space="preserve"> to address the prohibitive personal or equity guarantee requirement is the antithesis of meeting the needs of thousands of cooperatively owned small businesses across the entire country. Additionally, the proposed rule fails to meet the statutory directives for SBA within the 2018 Main Street Employee Ownership Act (P.L. 115-232 Sec. 862), which states:</w:t>
      </w:r>
    </w:p>
    <w:p w14:paraId="7D44FF3E" w14:textId="77777777" w:rsidR="005E0E44" w:rsidRDefault="005E0E44" w:rsidP="005E0E44">
      <w:pPr>
        <w:ind w:left="720"/>
        <w:rPr>
          <w:i/>
          <w:iCs/>
        </w:rPr>
      </w:pPr>
      <w:r w:rsidRPr="00CC42A1">
        <w:rPr>
          <w:i/>
          <w:iCs/>
        </w:rPr>
        <w:t>“It is the sense of Congress that cooperatives have a unique business structure and are unable to access the lending programs of the Administration effectively due to loan guarantee requirements that are incompatible with the business structure of cooperatives.”</w:t>
      </w:r>
    </w:p>
    <w:p w14:paraId="74AAE761" w14:textId="4D7EA405" w:rsidR="00C57B90" w:rsidRPr="00C57B90" w:rsidRDefault="50AB85C7" w:rsidP="00C57B90">
      <w:r>
        <w:t xml:space="preserve">Since passage of the 2018 legislation, Congress has further clarified its intent for SBA to make structural changes in its lending programs that would provide cooperatives with access to capital and for the agency to fully implement the requirements within the legislation. This has been made clear through numerous House Small Business Committee hearings and, most notably, in the House Financial Services and General Government Committee’s </w:t>
      </w:r>
      <w:hyperlink r:id="rId8">
        <w:r w:rsidRPr="50AB85C7">
          <w:rPr>
            <w:rStyle w:val="Hyperlink"/>
          </w:rPr>
          <w:t>FY 2022 Appropriations Report</w:t>
        </w:r>
      </w:hyperlink>
      <w:r>
        <w:t xml:space="preserve"> (P.L. 117-103).</w:t>
      </w:r>
    </w:p>
    <w:p w14:paraId="6BD268DA" w14:textId="1DA770D9" w:rsidR="008C7705" w:rsidRPr="008C7705" w:rsidRDefault="008C7705" w:rsidP="005E0E44">
      <w:pPr>
        <w:rPr>
          <w:b/>
          <w:bCs/>
          <w:u w:val="single"/>
        </w:rPr>
      </w:pPr>
      <w:r>
        <w:rPr>
          <w:b/>
          <w:bCs/>
          <w:u w:val="single"/>
        </w:rPr>
        <w:t>Addressing the Seller Guarantee Requirement</w:t>
      </w:r>
    </w:p>
    <w:p w14:paraId="227EB2A0" w14:textId="10C415A2" w:rsidR="005E0E44" w:rsidRDefault="005E0E44" w:rsidP="005E0E44">
      <w:r>
        <w:t xml:space="preserve">In addressing another component of concern within the proposed rule, SBA </w:t>
      </w:r>
      <w:r w:rsidR="008B566A">
        <w:t>currently</w:t>
      </w:r>
      <w:r w:rsidR="00D51424">
        <w:t xml:space="preserve"> requires that</w:t>
      </w:r>
      <w:r>
        <w:t xml:space="preserve"> sellers guarantee the buying loan.</w:t>
      </w:r>
      <w:r w:rsidR="007227EF">
        <w:rPr>
          <w:rStyle w:val="FootnoteReference"/>
        </w:rPr>
        <w:footnoteReference w:id="2"/>
      </w:r>
      <w:r>
        <w:t xml:space="preserve"> For many business owners who wish to retire or would otherwise close their small business, they may no longer be involved in future business operations once a conversion to </w:t>
      </w:r>
      <w:r w:rsidR="00CC63FB">
        <w:t>a cooper</w:t>
      </w:r>
      <w:r w:rsidR="00A50CCA">
        <w:t>ative</w:t>
      </w:r>
      <w:r>
        <w:t xml:space="preserve"> model has taken place. This requirement is another prohibitive barrier that would disincentivize small business conversions and instead incentivize </w:t>
      </w:r>
      <w:r w:rsidR="004D624A">
        <w:t xml:space="preserve">selling the business to an </w:t>
      </w:r>
      <w:r w:rsidR="003D57F7">
        <w:t>out-of-town</w:t>
      </w:r>
      <w:r w:rsidR="004D624A">
        <w:t xml:space="preserve"> buyer</w:t>
      </w:r>
      <w:r>
        <w:t xml:space="preserve"> instead of preserving what was once a community</w:t>
      </w:r>
      <w:r w:rsidR="0012788C">
        <w:t>-</w:t>
      </w:r>
      <w:r>
        <w:t xml:space="preserve">based and </w:t>
      </w:r>
      <w:r w:rsidR="00A155CF">
        <w:t>locally owned</w:t>
      </w:r>
      <w:r>
        <w:t xml:space="preserve"> entit</w:t>
      </w:r>
      <w:r w:rsidR="005C32EA">
        <w:t xml:space="preserve">y. This includes scenarios where small businesses are increasingly absorbed by </w:t>
      </w:r>
      <w:r w:rsidR="0012788C">
        <w:t xml:space="preserve">large corporations, private equity firms selling </w:t>
      </w:r>
      <w:r w:rsidR="000008DC">
        <w:t>a business for parts or immediate liquidation.</w:t>
      </w:r>
    </w:p>
    <w:p w14:paraId="26F4193A" w14:textId="77777777" w:rsidR="00D7129A" w:rsidRDefault="00671D3E" w:rsidP="00DD5A30">
      <w:r>
        <w:t>Because of their structure, cooperatives are more resilient, innovative, and sustainable. With each member having an equal stake in the cooperative, there is no singular owner entirely on the hook. It is the shared risk among member-owners that makes the business significantly less likely to fail than other types of business models</w:t>
      </w:r>
      <w:r w:rsidR="00502B87">
        <w:t>.</w:t>
      </w:r>
    </w:p>
    <w:p w14:paraId="60D155D4" w14:textId="6BD35F18" w:rsidR="00DD5A30" w:rsidRPr="00D7129A" w:rsidRDefault="00DD5A30" w:rsidP="00DD5A30">
      <w:r>
        <w:rPr>
          <w:b/>
          <w:bCs/>
          <w:u w:val="single"/>
        </w:rPr>
        <w:t>Alternatives to the personal guarantee requirement</w:t>
      </w:r>
    </w:p>
    <w:p w14:paraId="76A74674" w14:textId="1D07EE2D" w:rsidR="00671D3E" w:rsidRDefault="50AB85C7" w:rsidP="00DD5A30">
      <w:r>
        <w:t>The cooperative sector has been working for decades with the SBA to implement practical alternatives to the personal guarantee, and we were hopeful that the Main Street Employee Ownership Act would be a catalyst for change. We were disappointed that the SBA hearings by the House Small Business Committee in March 2019 and September 2021 did not result in policy changes that would remove the personal guarantee requirement and provide member-owners fair access to SBA loan products. While the current proposed rule was intended to be a step toward making access to capital more equitable for member owned businesses, it reinforces the inaccessibility of SBA loan programs to a huge swath of the small business community.</w:t>
      </w:r>
    </w:p>
    <w:p w14:paraId="1660D5CF" w14:textId="35E00D09" w:rsidR="00DD5A30" w:rsidRDefault="50AB85C7" w:rsidP="00DD5A30">
      <w:r>
        <w:t>Within the federal government, other departments, such as the U.S. Department of Agriculture, recognize the value and strength of the cooperative model by outlining requirements to ensure that cooperative businesses may equally participate in its guaranteed lending programs. In the case of co-ops with five or more people, USDA does not require individuals to fulfill a personal guarantee requirement. As a result, cooperatives across sectors have a rich presence in rural communities across the country that have helped rural residents expand and retain access to necessary goods and services and create new economic opportunities. Of note, the SBA also provides waivers to the requirement on guarantees for 7(a) loans to ESOPs.</w:t>
      </w:r>
    </w:p>
    <w:p w14:paraId="1BF726F1" w14:textId="69464F62" w:rsidR="00DD5A30" w:rsidRDefault="50AB85C7" w:rsidP="00DD5A30">
      <w:r>
        <w:t>Additionally, the private sector recognizes the unique and successful business model of cooperatives. Generally, cooperative lenders, who are eager to finance more cooperative businesses, require collateral on loans to cooperatives, but in recognition of the cooperative model, they do not require personal guarantees. Rather, there are numerous ways in which lenders prudently administer these loans.</w:t>
      </w:r>
      <w:r w:rsidR="00FB333A">
        <w:t xml:space="preserve"> </w:t>
      </w:r>
      <w:r>
        <w:t xml:space="preserve">We understand that SBA needs to balance the potential risk associated with the removal of the personal guarantee requirement. Cooperative lenders and member-owners alike agree that taxpayer dollars should not be associated with risky or unviable loans. We believe, however, that there are other, more reasonable ways to manage this risk. </w:t>
      </w:r>
    </w:p>
    <w:p w14:paraId="5686FAED" w14:textId="6E13898B" w:rsidR="005E0E44" w:rsidRPr="00AE278D" w:rsidRDefault="00AE278D" w:rsidP="005E0E44">
      <w:pPr>
        <w:rPr>
          <w:b/>
          <w:bCs/>
          <w:u w:val="single"/>
        </w:rPr>
      </w:pPr>
      <w:r>
        <w:rPr>
          <w:b/>
          <w:bCs/>
          <w:u w:val="single"/>
        </w:rPr>
        <w:t>Conclusion</w:t>
      </w:r>
    </w:p>
    <w:p w14:paraId="13553A21" w14:textId="07673570" w:rsidR="005E0E44" w:rsidRDefault="634B37D5" w:rsidP="005E0E44">
      <w:r>
        <w:t xml:space="preserve">Cooperative models offer a solution not only to address the tide of baby boomer business owners who will soon retire but also to </w:t>
      </w:r>
      <w:r w:rsidR="7ADBF93B">
        <w:t>build wealth, especially in communities of color and low-income communities.</w:t>
      </w:r>
      <w:r w:rsidR="001E37BF">
        <w:t xml:space="preserve"> </w:t>
      </w:r>
      <w:r w:rsidR="005E0E44">
        <w:t>To help people capture this opportunity, we strongly believe the most important thing SBA can do is ensure that cooperatives have access to its lending programs.</w:t>
      </w:r>
    </w:p>
    <w:p w14:paraId="7193A170" w14:textId="49605C5C" w:rsidR="005E0E44" w:rsidRDefault="50AB85C7" w:rsidP="005E0E44">
      <w:r>
        <w:t xml:space="preserve">Again, thank you for the opportunity to submit public comments. The cooperative community stands ready to support your work on this critical issue. </w:t>
      </w:r>
    </w:p>
    <w:p w14:paraId="47A546DD" w14:textId="23AE60D0" w:rsidR="005E0E44" w:rsidRDefault="007C7211" w:rsidP="005E0E44">
      <w:r>
        <w:t>In cooperation</w:t>
      </w:r>
      <w:r w:rsidR="00611CF7">
        <w:t>,</w:t>
      </w:r>
    </w:p>
    <w:p w14:paraId="370B5ECB" w14:textId="1AE42119" w:rsidR="00611CF7" w:rsidRPr="00CC42A1" w:rsidRDefault="00611CF7" w:rsidP="005E0E44">
      <w:r>
        <w:t>[Undersigned organizations]</w:t>
      </w:r>
    </w:p>
    <w:p w14:paraId="0CEBE13F" w14:textId="77777777" w:rsidR="005E0E44" w:rsidRDefault="005E0E44"/>
    <w:sectPr w:rsidR="005E0E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E57EB" w14:textId="77777777" w:rsidR="000E6208" w:rsidRDefault="000E6208" w:rsidP="005E0E44">
      <w:pPr>
        <w:spacing w:after="0" w:line="240" w:lineRule="auto"/>
      </w:pPr>
      <w:r>
        <w:separator/>
      </w:r>
    </w:p>
  </w:endnote>
  <w:endnote w:type="continuationSeparator" w:id="0">
    <w:p w14:paraId="47728022" w14:textId="77777777" w:rsidR="000E6208" w:rsidRDefault="000E6208" w:rsidP="005E0E44">
      <w:pPr>
        <w:spacing w:after="0" w:line="240" w:lineRule="auto"/>
      </w:pPr>
      <w:r>
        <w:continuationSeparator/>
      </w:r>
    </w:p>
  </w:endnote>
  <w:endnote w:type="continuationNotice" w:id="1">
    <w:p w14:paraId="3B253C66" w14:textId="77777777" w:rsidR="000E6208" w:rsidRDefault="000E62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6696E" w14:textId="77777777" w:rsidR="000E6208" w:rsidRDefault="000E6208" w:rsidP="005E0E44">
      <w:pPr>
        <w:spacing w:after="0" w:line="240" w:lineRule="auto"/>
      </w:pPr>
      <w:r>
        <w:separator/>
      </w:r>
    </w:p>
  </w:footnote>
  <w:footnote w:type="continuationSeparator" w:id="0">
    <w:p w14:paraId="57A5BBE7" w14:textId="77777777" w:rsidR="000E6208" w:rsidRDefault="000E6208" w:rsidP="005E0E44">
      <w:pPr>
        <w:spacing w:after="0" w:line="240" w:lineRule="auto"/>
      </w:pPr>
      <w:r>
        <w:continuationSeparator/>
      </w:r>
    </w:p>
  </w:footnote>
  <w:footnote w:type="continuationNotice" w:id="1">
    <w:p w14:paraId="37F355A4" w14:textId="77777777" w:rsidR="000E6208" w:rsidRDefault="000E6208">
      <w:pPr>
        <w:spacing w:after="0" w:line="240" w:lineRule="auto"/>
      </w:pPr>
    </w:p>
  </w:footnote>
  <w:footnote w:id="2">
    <w:p w14:paraId="6F01A27F" w14:textId="23D80A8B" w:rsidR="007227EF" w:rsidRDefault="007227EF">
      <w:pPr>
        <w:pStyle w:val="FootnoteText"/>
      </w:pPr>
      <w:r>
        <w:rPr>
          <w:rStyle w:val="FootnoteReference"/>
        </w:rPr>
        <w:footnoteRef/>
      </w:r>
      <w:r>
        <w:t xml:space="preserve"> </w:t>
      </w:r>
      <w:hyperlink r:id="rId1" w:history="1">
        <w:r w:rsidR="000F28C8" w:rsidRPr="000F28C8">
          <w:rPr>
            <w:rStyle w:val="Hyperlink"/>
          </w:rPr>
          <w:t xml:space="preserve">2019 </w:t>
        </w:r>
        <w:r w:rsidRPr="000F28C8">
          <w:rPr>
            <w:rStyle w:val="Hyperlink"/>
          </w:rPr>
          <w:t>SBA</w:t>
        </w:r>
        <w:r w:rsidR="000F28C8" w:rsidRPr="000F28C8">
          <w:rPr>
            <w:rStyle w:val="Hyperlink"/>
          </w:rPr>
          <w:t xml:space="preserve"> Report on Cooperative Lending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E44"/>
    <w:rsid w:val="000008DC"/>
    <w:rsid w:val="00001C20"/>
    <w:rsid w:val="00002580"/>
    <w:rsid w:val="0003324B"/>
    <w:rsid w:val="00052A88"/>
    <w:rsid w:val="00053A30"/>
    <w:rsid w:val="00055E2D"/>
    <w:rsid w:val="00061D38"/>
    <w:rsid w:val="0006410C"/>
    <w:rsid w:val="000A2D7E"/>
    <w:rsid w:val="000B1116"/>
    <w:rsid w:val="000E6208"/>
    <w:rsid w:val="000F28C8"/>
    <w:rsid w:val="00120978"/>
    <w:rsid w:val="00125691"/>
    <w:rsid w:val="0012788C"/>
    <w:rsid w:val="001323FD"/>
    <w:rsid w:val="001740A6"/>
    <w:rsid w:val="001766C7"/>
    <w:rsid w:val="001A7732"/>
    <w:rsid w:val="001E079D"/>
    <w:rsid w:val="001E37BF"/>
    <w:rsid w:val="001E4AE9"/>
    <w:rsid w:val="00204029"/>
    <w:rsid w:val="002119D4"/>
    <w:rsid w:val="00214CEC"/>
    <w:rsid w:val="002166D4"/>
    <w:rsid w:val="00224C38"/>
    <w:rsid w:val="002279C9"/>
    <w:rsid w:val="00237150"/>
    <w:rsid w:val="00247D22"/>
    <w:rsid w:val="00265516"/>
    <w:rsid w:val="002741FA"/>
    <w:rsid w:val="00280434"/>
    <w:rsid w:val="002818B6"/>
    <w:rsid w:val="002C3EE3"/>
    <w:rsid w:val="002D1092"/>
    <w:rsid w:val="002D78A6"/>
    <w:rsid w:val="002F3A32"/>
    <w:rsid w:val="002F75C7"/>
    <w:rsid w:val="0033061C"/>
    <w:rsid w:val="00345236"/>
    <w:rsid w:val="00346DB6"/>
    <w:rsid w:val="0036757D"/>
    <w:rsid w:val="003D57F7"/>
    <w:rsid w:val="0046536D"/>
    <w:rsid w:val="004963D0"/>
    <w:rsid w:val="004976B6"/>
    <w:rsid w:val="004D624A"/>
    <w:rsid w:val="004E3C44"/>
    <w:rsid w:val="00502B87"/>
    <w:rsid w:val="00527D4E"/>
    <w:rsid w:val="00533109"/>
    <w:rsid w:val="005411EB"/>
    <w:rsid w:val="00566659"/>
    <w:rsid w:val="00570E05"/>
    <w:rsid w:val="00581B40"/>
    <w:rsid w:val="00590A38"/>
    <w:rsid w:val="00592ED0"/>
    <w:rsid w:val="005B1AE4"/>
    <w:rsid w:val="005B3405"/>
    <w:rsid w:val="005B4E2B"/>
    <w:rsid w:val="005C32EA"/>
    <w:rsid w:val="005E0E44"/>
    <w:rsid w:val="005F770F"/>
    <w:rsid w:val="00607E8C"/>
    <w:rsid w:val="00611CF7"/>
    <w:rsid w:val="00623C6D"/>
    <w:rsid w:val="00641DF2"/>
    <w:rsid w:val="00651A9F"/>
    <w:rsid w:val="00653B33"/>
    <w:rsid w:val="00671D3E"/>
    <w:rsid w:val="00674F30"/>
    <w:rsid w:val="00705541"/>
    <w:rsid w:val="00705BCF"/>
    <w:rsid w:val="007217B1"/>
    <w:rsid w:val="007227EF"/>
    <w:rsid w:val="00755147"/>
    <w:rsid w:val="007644C1"/>
    <w:rsid w:val="00770C0F"/>
    <w:rsid w:val="007C7211"/>
    <w:rsid w:val="00800535"/>
    <w:rsid w:val="008055B8"/>
    <w:rsid w:val="00807F3A"/>
    <w:rsid w:val="008448D7"/>
    <w:rsid w:val="00860D76"/>
    <w:rsid w:val="00861918"/>
    <w:rsid w:val="00864888"/>
    <w:rsid w:val="00870672"/>
    <w:rsid w:val="00880714"/>
    <w:rsid w:val="00891925"/>
    <w:rsid w:val="00891AC6"/>
    <w:rsid w:val="008926FA"/>
    <w:rsid w:val="008B566A"/>
    <w:rsid w:val="008B6DE7"/>
    <w:rsid w:val="008C7705"/>
    <w:rsid w:val="008D29E6"/>
    <w:rsid w:val="008D3357"/>
    <w:rsid w:val="008E0FE1"/>
    <w:rsid w:val="008E1D55"/>
    <w:rsid w:val="008E2452"/>
    <w:rsid w:val="009516F3"/>
    <w:rsid w:val="00954FFE"/>
    <w:rsid w:val="0097476D"/>
    <w:rsid w:val="009B0E6F"/>
    <w:rsid w:val="009D0167"/>
    <w:rsid w:val="009F4C20"/>
    <w:rsid w:val="00A155CF"/>
    <w:rsid w:val="00A342C9"/>
    <w:rsid w:val="00A40A78"/>
    <w:rsid w:val="00A50CCA"/>
    <w:rsid w:val="00A62C75"/>
    <w:rsid w:val="00A7143A"/>
    <w:rsid w:val="00A969F5"/>
    <w:rsid w:val="00AA1F4B"/>
    <w:rsid w:val="00AA1FBC"/>
    <w:rsid w:val="00AE278D"/>
    <w:rsid w:val="00B05C72"/>
    <w:rsid w:val="00B072F0"/>
    <w:rsid w:val="00B16489"/>
    <w:rsid w:val="00B56EB1"/>
    <w:rsid w:val="00BA0471"/>
    <w:rsid w:val="00C04623"/>
    <w:rsid w:val="00C04BD2"/>
    <w:rsid w:val="00C164CA"/>
    <w:rsid w:val="00C31196"/>
    <w:rsid w:val="00C35520"/>
    <w:rsid w:val="00C4150C"/>
    <w:rsid w:val="00C45070"/>
    <w:rsid w:val="00C55E59"/>
    <w:rsid w:val="00C57B90"/>
    <w:rsid w:val="00C85106"/>
    <w:rsid w:val="00CA019B"/>
    <w:rsid w:val="00CC56C4"/>
    <w:rsid w:val="00CC63FB"/>
    <w:rsid w:val="00CE42CA"/>
    <w:rsid w:val="00CF18C7"/>
    <w:rsid w:val="00CF4B36"/>
    <w:rsid w:val="00CF54C7"/>
    <w:rsid w:val="00D02DBD"/>
    <w:rsid w:val="00D31B02"/>
    <w:rsid w:val="00D51424"/>
    <w:rsid w:val="00D7129A"/>
    <w:rsid w:val="00D93D16"/>
    <w:rsid w:val="00DA5B74"/>
    <w:rsid w:val="00DA7300"/>
    <w:rsid w:val="00DB361F"/>
    <w:rsid w:val="00DB3C11"/>
    <w:rsid w:val="00DD5A30"/>
    <w:rsid w:val="00E0106B"/>
    <w:rsid w:val="00E17142"/>
    <w:rsid w:val="00E432FE"/>
    <w:rsid w:val="00E57E59"/>
    <w:rsid w:val="00E620CA"/>
    <w:rsid w:val="00E81D90"/>
    <w:rsid w:val="00E83277"/>
    <w:rsid w:val="00EA6671"/>
    <w:rsid w:val="00EC2FE2"/>
    <w:rsid w:val="00F2727B"/>
    <w:rsid w:val="00F324BA"/>
    <w:rsid w:val="00F71842"/>
    <w:rsid w:val="00F869FA"/>
    <w:rsid w:val="00FB333A"/>
    <w:rsid w:val="00FE6B7D"/>
    <w:rsid w:val="018CDA83"/>
    <w:rsid w:val="14CFBD2C"/>
    <w:rsid w:val="1B45BD46"/>
    <w:rsid w:val="210CC0D9"/>
    <w:rsid w:val="2117CBAC"/>
    <w:rsid w:val="2350CF2B"/>
    <w:rsid w:val="23E04BB4"/>
    <w:rsid w:val="280B17F1"/>
    <w:rsid w:val="2B42B8B3"/>
    <w:rsid w:val="2CDE8914"/>
    <w:rsid w:val="3E8AF154"/>
    <w:rsid w:val="43E9D03E"/>
    <w:rsid w:val="47A7BD55"/>
    <w:rsid w:val="4911FA1B"/>
    <w:rsid w:val="4A11CDE1"/>
    <w:rsid w:val="4DEED1D0"/>
    <w:rsid w:val="5067E708"/>
    <w:rsid w:val="50AB85C7"/>
    <w:rsid w:val="516AB9C3"/>
    <w:rsid w:val="5203B769"/>
    <w:rsid w:val="53068A24"/>
    <w:rsid w:val="61F92BED"/>
    <w:rsid w:val="634B37D5"/>
    <w:rsid w:val="70900B4F"/>
    <w:rsid w:val="7ADBF9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80645"/>
  <w15:chartTrackingRefBased/>
  <w15:docId w15:val="{FAF25D02-08D8-48FD-AC6D-CE54390AD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E0E4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5E0E44"/>
    <w:rPr>
      <w:rFonts w:ascii="Times New Roman" w:hAnsi="Times New Roman"/>
      <w:sz w:val="20"/>
      <w:szCs w:val="20"/>
    </w:rPr>
  </w:style>
  <w:style w:type="character" w:styleId="FootnoteReference">
    <w:name w:val="footnote reference"/>
    <w:basedOn w:val="DefaultParagraphFont"/>
    <w:uiPriority w:val="99"/>
    <w:semiHidden/>
    <w:unhideWhenUsed/>
    <w:rsid w:val="005E0E44"/>
    <w:rPr>
      <w:vertAlign w:val="superscript"/>
    </w:rPr>
  </w:style>
  <w:style w:type="character" w:styleId="Hyperlink">
    <w:name w:val="Hyperlink"/>
    <w:basedOn w:val="DefaultParagraphFont"/>
    <w:uiPriority w:val="99"/>
    <w:unhideWhenUsed/>
    <w:rsid w:val="005E0E44"/>
    <w:rPr>
      <w:color w:val="0000FF"/>
      <w:u w:val="single"/>
    </w:rPr>
  </w:style>
  <w:style w:type="paragraph" w:styleId="Revision">
    <w:name w:val="Revision"/>
    <w:hidden/>
    <w:uiPriority w:val="99"/>
    <w:semiHidden/>
    <w:rsid w:val="00C04623"/>
    <w:pPr>
      <w:spacing w:after="0" w:line="240" w:lineRule="auto"/>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semiHidden/>
    <w:unhideWhenUsed/>
    <w:rsid w:val="00A714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143A"/>
  </w:style>
  <w:style w:type="paragraph" w:styleId="Footer">
    <w:name w:val="footer"/>
    <w:basedOn w:val="Normal"/>
    <w:link w:val="FooterChar"/>
    <w:uiPriority w:val="99"/>
    <w:semiHidden/>
    <w:unhideWhenUsed/>
    <w:rsid w:val="00A714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7143A"/>
  </w:style>
  <w:style w:type="character" w:styleId="UnresolvedMention">
    <w:name w:val="Unresolved Mention"/>
    <w:basedOn w:val="DefaultParagraphFont"/>
    <w:uiPriority w:val="99"/>
    <w:semiHidden/>
    <w:unhideWhenUsed/>
    <w:rsid w:val="00214CE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969F5"/>
    <w:rPr>
      <w:b/>
      <w:bCs/>
    </w:rPr>
  </w:style>
  <w:style w:type="character" w:customStyle="1" w:styleId="CommentSubjectChar">
    <w:name w:val="Comment Subject Char"/>
    <w:basedOn w:val="CommentTextChar"/>
    <w:link w:val="CommentSubject"/>
    <w:uiPriority w:val="99"/>
    <w:semiHidden/>
    <w:rsid w:val="00A969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CRPT-117hrpt79/pdf/CRPT-117hrpt79.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ncbaclusa.coop/content/uploads/2019/08/SBA-Cooperative-Lending-Report-to-Congres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51EEF-B6EB-4CB7-B310-6001C18F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1437</Words>
  <Characters>8191</Characters>
  <Application>Microsoft Office Word</Application>
  <DocSecurity>4</DocSecurity>
  <Lines>68</Lines>
  <Paragraphs>19</Paragraphs>
  <ScaleCrop>false</ScaleCrop>
  <Company/>
  <LinksUpToDate>false</LinksUpToDate>
  <CharactersWithSpaces>9609</CharactersWithSpaces>
  <SharedDoc>false</SharedDoc>
  <HLinks>
    <vt:vector size="12" baseType="variant">
      <vt:variant>
        <vt:i4>1769537</vt:i4>
      </vt:variant>
      <vt:variant>
        <vt:i4>0</vt:i4>
      </vt:variant>
      <vt:variant>
        <vt:i4>0</vt:i4>
      </vt:variant>
      <vt:variant>
        <vt:i4>5</vt:i4>
      </vt:variant>
      <vt:variant>
        <vt:lpwstr>https://www.govinfo.gov/content/pkg/CRPT-117hrpt79/pdf/CRPT-117hrpt79.pdf</vt:lpwstr>
      </vt:variant>
      <vt:variant>
        <vt:lpwstr/>
      </vt:variant>
      <vt:variant>
        <vt:i4>7667810</vt:i4>
      </vt:variant>
      <vt:variant>
        <vt:i4>0</vt:i4>
      </vt:variant>
      <vt:variant>
        <vt:i4>0</vt:i4>
      </vt:variant>
      <vt:variant>
        <vt:i4>5</vt:i4>
      </vt:variant>
      <vt:variant>
        <vt:lpwstr>https://ncbaclusa.coop/content/uploads/2019/08/SBA-Cooperative-Lending-Report-to-Congress-FINAL.pdf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Aaliyah Nedd</dc:creator>
  <cp:keywords/>
  <dc:description/>
  <cp:lastModifiedBy>Guest User</cp:lastModifiedBy>
  <cp:revision>34</cp:revision>
  <dcterms:created xsi:type="dcterms:W3CDTF">2022-12-15T01:46:00Z</dcterms:created>
  <dcterms:modified xsi:type="dcterms:W3CDTF">2022-12-15T18:24:00Z</dcterms:modified>
</cp:coreProperties>
</file>